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21599" w:rsidP="00021599">
      <w:pPr>
        <w:spacing w:line="480" w:lineRule="auto"/>
        <w:jc w:val="center"/>
        <w:rPr>
          <w:rFonts w:ascii="Times New Roman" w:hAnsi="Times New Roman" w:cs="Times New Roman"/>
          <w:sz w:val="24"/>
          <w:szCs w:val="24"/>
        </w:rPr>
      </w:pPr>
    </w:p>
    <w:p w:rsidR="00021599" w:rsidP="00021599">
      <w:pPr>
        <w:spacing w:line="480" w:lineRule="auto"/>
        <w:jc w:val="center"/>
        <w:rPr>
          <w:rFonts w:ascii="Times New Roman" w:hAnsi="Times New Roman" w:cs="Times New Roman"/>
          <w:sz w:val="24"/>
          <w:szCs w:val="24"/>
        </w:rPr>
      </w:pPr>
    </w:p>
    <w:p w:rsidR="00021599" w:rsidP="00021599">
      <w:pPr>
        <w:spacing w:line="480" w:lineRule="auto"/>
        <w:jc w:val="center"/>
        <w:rPr>
          <w:rFonts w:ascii="Times New Roman" w:hAnsi="Times New Roman" w:cs="Times New Roman"/>
          <w:sz w:val="24"/>
          <w:szCs w:val="24"/>
        </w:rPr>
      </w:pPr>
    </w:p>
    <w:p w:rsidR="00021599" w:rsidP="00021599">
      <w:pPr>
        <w:spacing w:line="480" w:lineRule="auto"/>
        <w:jc w:val="center"/>
        <w:rPr>
          <w:rFonts w:ascii="Times New Roman" w:hAnsi="Times New Roman" w:cs="Times New Roman"/>
          <w:sz w:val="24"/>
          <w:szCs w:val="24"/>
        </w:rPr>
      </w:pPr>
    </w:p>
    <w:p w:rsidR="00021599" w:rsidP="00021599">
      <w:pPr>
        <w:spacing w:line="480" w:lineRule="auto"/>
        <w:jc w:val="center"/>
        <w:rPr>
          <w:rFonts w:ascii="Times New Roman" w:hAnsi="Times New Roman" w:cs="Times New Roman"/>
          <w:sz w:val="24"/>
          <w:szCs w:val="24"/>
        </w:rPr>
      </w:pPr>
    </w:p>
    <w:p w:rsidR="00021599" w:rsidP="00021599">
      <w:pPr>
        <w:spacing w:line="480" w:lineRule="auto"/>
        <w:jc w:val="center"/>
        <w:rPr>
          <w:rFonts w:ascii="Times New Roman" w:hAnsi="Times New Roman" w:cs="Times New Roman"/>
          <w:sz w:val="24"/>
          <w:szCs w:val="24"/>
        </w:rPr>
      </w:pPr>
    </w:p>
    <w:p w:rsidR="00021599" w:rsidP="00021599">
      <w:pPr>
        <w:spacing w:line="480" w:lineRule="auto"/>
        <w:jc w:val="center"/>
        <w:rPr>
          <w:rFonts w:ascii="Times New Roman" w:hAnsi="Times New Roman" w:cs="Times New Roman"/>
          <w:sz w:val="24"/>
          <w:szCs w:val="24"/>
        </w:rPr>
      </w:pPr>
    </w:p>
    <w:p w:rsidR="00021599" w:rsidP="00021599">
      <w:pPr>
        <w:spacing w:line="480" w:lineRule="auto"/>
        <w:jc w:val="center"/>
        <w:rPr>
          <w:rFonts w:ascii="Times New Roman" w:hAnsi="Times New Roman" w:cs="Times New Roman"/>
          <w:sz w:val="24"/>
          <w:szCs w:val="24"/>
        </w:rPr>
      </w:pPr>
    </w:p>
    <w:p w:rsidR="00021599" w:rsidP="00021599">
      <w:pPr>
        <w:spacing w:line="480" w:lineRule="auto"/>
        <w:jc w:val="center"/>
        <w:rPr>
          <w:rFonts w:ascii="Times New Roman" w:hAnsi="Times New Roman" w:cs="Times New Roman"/>
          <w:sz w:val="24"/>
          <w:szCs w:val="24"/>
        </w:rPr>
      </w:pPr>
    </w:p>
    <w:p w:rsidR="0080412D" w:rsidP="00021599">
      <w:pPr>
        <w:spacing w:line="480" w:lineRule="auto"/>
        <w:jc w:val="center"/>
        <w:rPr>
          <w:rFonts w:ascii="Times New Roman" w:hAnsi="Times New Roman" w:cs="Times New Roman"/>
          <w:sz w:val="24"/>
          <w:szCs w:val="24"/>
        </w:rPr>
      </w:pPr>
      <w:r>
        <w:rPr>
          <w:rFonts w:ascii="Times New Roman" w:hAnsi="Times New Roman" w:cs="Times New Roman"/>
          <w:sz w:val="24"/>
          <w:szCs w:val="24"/>
        </w:rPr>
        <w:t>The Biological Toxins Weapons Convention</w:t>
      </w:r>
    </w:p>
    <w:p w:rsidR="00021599" w:rsidP="0002159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21599" w:rsidP="0002159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21599" w:rsidRPr="00021599" w:rsidP="00021599">
      <w:pPr>
        <w:rPr>
          <w:rFonts w:ascii="Times New Roman" w:hAnsi="Times New Roman" w:cs="Times New Roman"/>
          <w:sz w:val="24"/>
          <w:szCs w:val="24"/>
        </w:rPr>
      </w:pPr>
    </w:p>
    <w:p w:rsidR="00021599" w:rsidRPr="00021599" w:rsidP="00021599">
      <w:pPr>
        <w:rPr>
          <w:rFonts w:ascii="Times New Roman" w:hAnsi="Times New Roman" w:cs="Times New Roman"/>
          <w:sz w:val="24"/>
          <w:szCs w:val="24"/>
        </w:rPr>
      </w:pPr>
    </w:p>
    <w:p w:rsidR="00021599" w:rsidRPr="00021599" w:rsidP="00021599">
      <w:pPr>
        <w:rPr>
          <w:rFonts w:ascii="Times New Roman" w:hAnsi="Times New Roman" w:cs="Times New Roman"/>
          <w:sz w:val="24"/>
          <w:szCs w:val="24"/>
        </w:rPr>
      </w:pPr>
    </w:p>
    <w:p w:rsidR="00021599" w:rsidRPr="00021599" w:rsidP="00021599">
      <w:pPr>
        <w:rPr>
          <w:rFonts w:ascii="Times New Roman" w:hAnsi="Times New Roman" w:cs="Times New Roman"/>
          <w:sz w:val="24"/>
          <w:szCs w:val="24"/>
        </w:rPr>
      </w:pPr>
    </w:p>
    <w:p w:rsidR="00021599" w:rsidP="00021599">
      <w:pPr>
        <w:rPr>
          <w:rFonts w:ascii="Times New Roman" w:hAnsi="Times New Roman" w:cs="Times New Roman"/>
          <w:sz w:val="24"/>
          <w:szCs w:val="24"/>
        </w:rPr>
      </w:pPr>
    </w:p>
    <w:p w:rsidR="00021599" w:rsidP="00021599">
      <w:pPr>
        <w:rPr>
          <w:rFonts w:ascii="Times New Roman" w:hAnsi="Times New Roman" w:cs="Times New Roman"/>
          <w:sz w:val="24"/>
          <w:szCs w:val="24"/>
        </w:rPr>
      </w:pPr>
    </w:p>
    <w:p w:rsidR="00021599" w:rsidP="00021599">
      <w:pPr>
        <w:rPr>
          <w:rFonts w:ascii="Times New Roman" w:hAnsi="Times New Roman" w:cs="Times New Roman"/>
          <w:sz w:val="24"/>
          <w:szCs w:val="24"/>
        </w:rPr>
      </w:pPr>
    </w:p>
    <w:p w:rsidR="00021599" w:rsidP="00021599">
      <w:pPr>
        <w:spacing w:line="480" w:lineRule="auto"/>
        <w:jc w:val="center"/>
        <w:rPr>
          <w:rFonts w:ascii="Times New Roman" w:hAnsi="Times New Roman" w:cs="Times New Roman"/>
          <w:sz w:val="24"/>
          <w:szCs w:val="24"/>
        </w:rPr>
      </w:pPr>
      <w:r>
        <w:rPr>
          <w:rFonts w:ascii="Times New Roman" w:hAnsi="Times New Roman" w:cs="Times New Roman"/>
          <w:sz w:val="24"/>
          <w:szCs w:val="24"/>
        </w:rPr>
        <w:t>The Biological and Toxins Weapons Convention</w:t>
      </w:r>
      <w:r w:rsidR="00054BFA">
        <w:rPr>
          <w:rFonts w:ascii="Times New Roman" w:hAnsi="Times New Roman" w:cs="Times New Roman"/>
          <w:sz w:val="24"/>
          <w:szCs w:val="24"/>
        </w:rPr>
        <w:t xml:space="preserve"> (BWC)</w:t>
      </w:r>
    </w:p>
    <w:p w:rsidR="00021599" w:rsidRPr="00C90CF0" w:rsidP="00021599">
      <w:pPr>
        <w:spacing w:line="480" w:lineRule="auto"/>
        <w:rPr>
          <w:rFonts w:ascii="Times New Roman" w:hAnsi="Times New Roman" w:cs="Times New Roman"/>
          <w:b/>
          <w:sz w:val="24"/>
          <w:szCs w:val="24"/>
        </w:rPr>
      </w:pPr>
      <w:r w:rsidRPr="00C90CF0">
        <w:rPr>
          <w:rFonts w:ascii="Times New Roman" w:hAnsi="Times New Roman" w:cs="Times New Roman"/>
          <w:b/>
          <w:sz w:val="24"/>
          <w:szCs w:val="24"/>
        </w:rPr>
        <w:t>Question 1</w:t>
      </w:r>
    </w:p>
    <w:p w:rsidR="007772E6" w:rsidP="00021599">
      <w:pPr>
        <w:spacing w:line="480" w:lineRule="auto"/>
        <w:rPr>
          <w:rFonts w:ascii="Times New Roman" w:hAnsi="Times New Roman" w:cs="Times New Roman"/>
          <w:sz w:val="24"/>
          <w:szCs w:val="24"/>
        </w:rPr>
      </w:pPr>
      <w:r>
        <w:rPr>
          <w:rFonts w:ascii="Times New Roman" w:hAnsi="Times New Roman" w:cs="Times New Roman"/>
          <w:sz w:val="24"/>
          <w:szCs w:val="24"/>
        </w:rPr>
        <w:tab/>
      </w:r>
      <w:r w:rsidR="00054BFA">
        <w:rPr>
          <w:rFonts w:ascii="Times New Roman" w:hAnsi="Times New Roman" w:cs="Times New Roman"/>
          <w:sz w:val="24"/>
          <w:szCs w:val="24"/>
        </w:rPr>
        <w:t xml:space="preserve">The United States decided to implement the legislation into law in 1989 since it felt that BWC was an essential body in protecting the world from the risks that biological and toxins weapons pose. Therefore, adopting the legislation will help it its expansive militarization efforts as well as enhance the security within its borders. The US will be able to avoid biological threats since nuclear materials and technologies will be secured. </w:t>
      </w:r>
    </w:p>
    <w:p w:rsidR="00021599" w:rsidP="007772E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R</w:t>
      </w:r>
      <w:r w:rsidR="00054BFA">
        <w:rPr>
          <w:rFonts w:ascii="Times New Roman" w:hAnsi="Times New Roman" w:cs="Times New Roman"/>
          <w:sz w:val="24"/>
          <w:szCs w:val="24"/>
        </w:rPr>
        <w:t xml:space="preserve">ussia and China </w:t>
      </w:r>
      <w:r w:rsidR="00850957">
        <w:rPr>
          <w:rFonts w:ascii="Times New Roman" w:hAnsi="Times New Roman" w:cs="Times New Roman"/>
          <w:sz w:val="24"/>
          <w:szCs w:val="24"/>
        </w:rPr>
        <w:t xml:space="preserve">were likely mass manufacturing nuclear weapons, and this put the US at risk based on a polarized relationship following the Second World War WWI II.  </w:t>
      </w:r>
      <w:r>
        <w:rPr>
          <w:rFonts w:ascii="Times New Roman" w:hAnsi="Times New Roman" w:cs="Times New Roman"/>
          <w:sz w:val="24"/>
          <w:szCs w:val="24"/>
        </w:rPr>
        <w:t>Also, Iran and Iraq were major concerns to the US due to their terrorism activities, and the failure to enact the legislation into would make her vulnerable to attacks. Nuclear weapons landing in the hands of these groups would threaten the security of the US, and she would have nobody to blame in case of an attack.
</w:t>
      </w:r>
    </w:p>
    <w:p w:rsidR="007772E6" w:rsidP="0002159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Also, </w:t>
      </w:r>
      <w:r w:rsidR="00F44FD4">
        <w:rPr>
          <w:rFonts w:ascii="Times New Roman" w:hAnsi="Times New Roman" w:cs="Times New Roman"/>
          <w:sz w:val="24"/>
          <w:szCs w:val="24"/>
        </w:rPr>
        <w:t xml:space="preserve">nuclear trafficking had caught headlines of mainstream media, and it was a matter a time before fissile materials were purchased by separationist and terrorist groups </w:t>
      </w:r>
      <w:r w:rsidR="00233ACE">
        <w:rPr>
          <w:rFonts w:ascii="Times New Roman" w:hAnsi="Times New Roman" w:cs="Times New Roman"/>
          <w:sz w:val="24"/>
          <w:szCs w:val="24"/>
        </w:rPr>
        <w:t>worldwide. It was prudent that they took into account such red flags. Besides, there were indications that there were state-sponsored terrorist groups, and this would enable the latter to have financial abilities to acquire large amounts of weapon materials. Such operations were likely to induce panic among the American people. An attack of such a kind would disrupt the US economically, politically, and socially. Radioactive materials that are highlighted in the BWC could cause a massive environment and physical damage even if they are released accidentally.
</w:t>
      </w:r>
    </w:p>
    <w:p w:rsidR="00233ACE" w:rsidP="0002159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Biodefense Strategy Primer </w:t>
      </w:r>
      <w:r w:rsidR="007A7929">
        <w:rPr>
          <w:rFonts w:ascii="Times New Roman" w:hAnsi="Times New Roman" w:cs="Times New Roman"/>
          <w:sz w:val="24"/>
          <w:szCs w:val="24"/>
        </w:rPr>
        <w:t>would</w:t>
      </w:r>
      <w:r>
        <w:rPr>
          <w:rFonts w:ascii="Times New Roman" w:hAnsi="Times New Roman" w:cs="Times New Roman"/>
          <w:sz w:val="24"/>
          <w:szCs w:val="24"/>
        </w:rPr>
        <w:t xml:space="preserve"> address biological warfare since it creates threat awareness</w:t>
      </w:r>
      <w:r w:rsidR="001E3BBD">
        <w:rPr>
          <w:rFonts w:ascii="Times New Roman" w:hAnsi="Times New Roman" w:cs="Times New Roman"/>
          <w:sz w:val="24"/>
          <w:szCs w:val="24"/>
        </w:rPr>
        <w:t xml:space="preserve"> by providing relevant intelligence, accurate, timely, threat assessment, and the preparation for future threats. Also, the strategy would ensure prevention and protection in the face of expansionary nuclear efforts by limiting access to knowledge, technologies, and agents by certain organizations</w:t>
      </w:r>
      <w:r w:rsidR="001C6142">
        <w:rPr>
          <w:rFonts w:ascii="Times New Roman" w:hAnsi="Times New Roman" w:cs="Times New Roman"/>
          <w:sz w:val="24"/>
          <w:szCs w:val="24"/>
        </w:rPr>
        <w:t xml:space="preserve"> (Poulin, 2009)</w:t>
      </w:r>
      <w:r w:rsidR="001E3BBD">
        <w:rPr>
          <w:rFonts w:ascii="Times New Roman" w:hAnsi="Times New Roman" w:cs="Times New Roman"/>
          <w:sz w:val="24"/>
          <w:szCs w:val="24"/>
        </w:rPr>
        <w:t xml:space="preserve">. Besides, </w:t>
      </w:r>
      <w:r w:rsidR="00D2673E">
        <w:rPr>
          <w:rFonts w:ascii="Times New Roman" w:hAnsi="Times New Roman" w:cs="Times New Roman"/>
          <w:sz w:val="24"/>
          <w:szCs w:val="24"/>
        </w:rPr>
        <w:t>it would enhance</w:t>
      </w:r>
      <w:r w:rsidR="001E3BBD">
        <w:rPr>
          <w:rFonts w:ascii="Times New Roman" w:hAnsi="Times New Roman" w:cs="Times New Roman"/>
          <w:sz w:val="24"/>
          <w:szCs w:val="24"/>
        </w:rPr>
        <w:t xml:space="preserve"> the surveillance and detection </w:t>
      </w:r>
      <w:r w:rsidR="00D2673E">
        <w:rPr>
          <w:rFonts w:ascii="Times New Roman" w:hAnsi="Times New Roman" w:cs="Times New Roman"/>
          <w:sz w:val="24"/>
          <w:szCs w:val="24"/>
        </w:rPr>
        <w:t>by providing</w:t>
      </w:r>
      <w:r w:rsidR="001E3BBD">
        <w:rPr>
          <w:rFonts w:ascii="Times New Roman" w:hAnsi="Times New Roman" w:cs="Times New Roman"/>
          <w:sz w:val="24"/>
          <w:szCs w:val="24"/>
        </w:rPr>
        <w:t xml:space="preserve"> recognition and warning of biological warfare. In this r</w:t>
      </w:r>
      <w:r w:rsidR="001C6142">
        <w:rPr>
          <w:rFonts w:ascii="Times New Roman" w:hAnsi="Times New Roman" w:cs="Times New Roman"/>
          <w:sz w:val="24"/>
          <w:szCs w:val="24"/>
        </w:rPr>
        <w:t xml:space="preserve">egard, governments can ensure timely response and mitigate effects associated with biological warfare. </w:t>
      </w:r>
      <w:r w:rsidR="00D2673E">
        <w:rPr>
          <w:rFonts w:ascii="Times New Roman" w:hAnsi="Times New Roman" w:cs="Times New Roman"/>
          <w:sz w:val="24"/>
          <w:szCs w:val="24"/>
        </w:rPr>
        <w:t>G</w:t>
      </w:r>
      <w:r w:rsidR="007A7929">
        <w:rPr>
          <w:rFonts w:ascii="Times New Roman" w:hAnsi="Times New Roman" w:cs="Times New Roman"/>
          <w:sz w:val="24"/>
          <w:szCs w:val="24"/>
        </w:rPr>
        <w:t>overnments could</w:t>
      </w:r>
      <w:r w:rsidR="001C6142">
        <w:rPr>
          <w:rFonts w:ascii="Times New Roman" w:hAnsi="Times New Roman" w:cs="Times New Roman"/>
          <w:sz w:val="24"/>
          <w:szCs w:val="24"/>
        </w:rPr>
        <w:t xml:space="preserve"> carry out pre-attack planning to ensure that they have capabilities to handle casualties, decontamination capabilities, physical control measures, medical countermeasures, and risk communications. </w:t>
      </w:r>
    </w:p>
    <w:p w:rsidR="007A7929" w:rsidP="00021599">
      <w:pPr>
        <w:spacing w:line="480" w:lineRule="auto"/>
        <w:rPr>
          <w:rFonts w:ascii="Times New Roman" w:hAnsi="Times New Roman" w:cs="Times New Roman"/>
          <w:sz w:val="24"/>
          <w:szCs w:val="24"/>
        </w:rPr>
      </w:pPr>
      <w:r>
        <w:rPr>
          <w:rFonts w:ascii="Times New Roman" w:hAnsi="Times New Roman" w:cs="Times New Roman"/>
          <w:sz w:val="24"/>
          <w:szCs w:val="24"/>
        </w:rPr>
        <w:tab/>
        <w:t>Additionally, the Biodefense for the 21 century would prevent biological warfare since it mitigates the effects of initial attacks that are likely to be widespread. The strategy also aimed at regulating advances in biotechnology based on the spread of expertise that would help modify live agents, new toxins, and bio-regulators</w:t>
      </w:r>
      <w:r w:rsidR="00B973E2">
        <w:rPr>
          <w:rFonts w:ascii="Times New Roman" w:hAnsi="Times New Roman" w:cs="Times New Roman"/>
          <w:sz w:val="24"/>
          <w:szCs w:val="24"/>
        </w:rPr>
        <w:t xml:space="preserve"> (Office of Press Secretary, 2004)</w:t>
      </w:r>
      <w:r>
        <w:rPr>
          <w:rFonts w:ascii="Times New Roman" w:hAnsi="Times New Roman" w:cs="Times New Roman"/>
          <w:sz w:val="24"/>
          <w:szCs w:val="24"/>
        </w:rPr>
        <w:t>. As a result, a comprehensive secur</w:t>
      </w:r>
      <w:r w:rsidR="00172310">
        <w:rPr>
          <w:rFonts w:ascii="Times New Roman" w:hAnsi="Times New Roman" w:cs="Times New Roman"/>
          <w:sz w:val="24"/>
          <w:szCs w:val="24"/>
        </w:rPr>
        <w:t>ity system would be provided to enhance preventive measures, detection methods, and treatments. The risks of surprise would be reduced since governments would anticipate threats through increased intelligence.</w:t>
      </w:r>
    </w:p>
    <w:p w:rsidR="001C6142" w:rsidP="0002159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the Biodefense for the 21 </w:t>
      </w:r>
      <w:r w:rsidR="00D2673E">
        <w:rPr>
          <w:rFonts w:ascii="Times New Roman" w:hAnsi="Times New Roman" w:cs="Times New Roman"/>
          <w:sz w:val="24"/>
          <w:szCs w:val="24"/>
        </w:rPr>
        <w:t>century is crucial for mitigating bioterrorism since it prevents hostile states from acquiring biological weapons; consequently, threatening the security as well as the safety of the US and her allies</w:t>
      </w:r>
      <w:r w:rsidR="00B973E2">
        <w:rPr>
          <w:rFonts w:ascii="Times New Roman" w:hAnsi="Times New Roman" w:cs="Times New Roman"/>
          <w:sz w:val="24"/>
          <w:szCs w:val="24"/>
        </w:rPr>
        <w:t xml:space="preserve"> (Office of Press Secretary, 2004)</w:t>
      </w:r>
      <w:r w:rsidR="00D2673E">
        <w:rPr>
          <w:rFonts w:ascii="Times New Roman" w:hAnsi="Times New Roman" w:cs="Times New Roman"/>
          <w:sz w:val="24"/>
          <w:szCs w:val="24"/>
        </w:rPr>
        <w:t>. Bioterrorism causes catastrophic harm that can inflict injury and cause mass casualties. The</w:t>
      </w:r>
      <w:r w:rsidR="007A7929">
        <w:rPr>
          <w:rFonts w:ascii="Times New Roman" w:hAnsi="Times New Roman" w:cs="Times New Roman"/>
          <w:sz w:val="24"/>
          <w:szCs w:val="24"/>
        </w:rPr>
        <w:t xml:space="preserve"> biodefense framework would help identify attacks occurring under the mimicry of naturally-occurring illnesses. Therefore, bioterrorist</w:t>
      </w:r>
      <w:r w:rsidR="00172310">
        <w:rPr>
          <w:rFonts w:ascii="Times New Roman" w:hAnsi="Times New Roman" w:cs="Times New Roman"/>
          <w:sz w:val="24"/>
          <w:szCs w:val="24"/>
        </w:rPr>
        <w:t xml:space="preserve">s cannot escape identification since there would be a minimal </w:t>
      </w:r>
      <w:r w:rsidR="00172310">
        <w:rPr>
          <w:rFonts w:ascii="Times New Roman" w:hAnsi="Times New Roman" w:cs="Times New Roman"/>
          <w:sz w:val="24"/>
          <w:szCs w:val="24"/>
        </w:rPr>
        <w:t xml:space="preserve">likelihood of denial or deception to conceal terrorist activities. Most importantly, the United States would be able to mobilize her biodefense and expand its biomedical research infrastructure to prevent bioterrorism. </w:t>
      </w:r>
      <w:r w:rsidR="00B973E2">
        <w:rPr>
          <w:rFonts w:ascii="Times New Roman" w:hAnsi="Times New Roman" w:cs="Times New Roman"/>
          <w:sz w:val="24"/>
          <w:szCs w:val="24"/>
        </w:rPr>
        <w:t>Also, the US would be able to protect critical infrastructure, such as public health, food, medical, water, transportation, agricultural, and energy sectors.
</w:t>
      </w:r>
    </w:p>
    <w:p w:rsidR="00B973E2" w:rsidP="00021599">
      <w:pPr>
        <w:spacing w:line="480" w:lineRule="auto"/>
        <w:rPr>
          <w:rFonts w:ascii="Times New Roman" w:hAnsi="Times New Roman" w:cs="Times New Roman"/>
          <w:sz w:val="24"/>
          <w:szCs w:val="24"/>
        </w:rPr>
      </w:pPr>
      <w:r>
        <w:rPr>
          <w:rFonts w:ascii="Times New Roman" w:hAnsi="Times New Roman" w:cs="Times New Roman"/>
          <w:sz w:val="24"/>
          <w:szCs w:val="24"/>
        </w:rPr>
        <w:tab/>
        <w:t>The National Response Framework</w:t>
      </w:r>
      <w:r w:rsidR="00EE7BCF">
        <w:rPr>
          <w:rFonts w:ascii="Times New Roman" w:hAnsi="Times New Roman" w:cs="Times New Roman"/>
          <w:sz w:val="24"/>
          <w:szCs w:val="24"/>
        </w:rPr>
        <w:t xml:space="preserve"> will help reduce threats caused by EIDs, unintentional research results, and accidental releases by improving response to emergencies and disasters. In this regard, the US would be able to respond effectively to all kinds of incidents using local assets as well as marshal capabilities of nationwide defense mechanisms. The primary objectives of the framework would be to </w:t>
      </w:r>
      <w:r w:rsidR="001224C9">
        <w:rPr>
          <w:rFonts w:ascii="Times New Roman" w:hAnsi="Times New Roman" w:cs="Times New Roman"/>
          <w:sz w:val="24"/>
          <w:szCs w:val="24"/>
        </w:rPr>
        <w:t>determine defense capabilities that can save lives in case of the occurrence of any incident above. Consequently, the framework meets basic human requirements, protect property, restore basic services and society functionality, as well as stabilize live after catastrophes</w:t>
      </w:r>
      <w:r w:rsidR="007D6D7F">
        <w:rPr>
          <w:rFonts w:ascii="Times New Roman" w:hAnsi="Times New Roman" w:cs="Times New Roman"/>
          <w:sz w:val="24"/>
          <w:szCs w:val="24"/>
        </w:rPr>
        <w:t xml:space="preserve"> (Homeland Security, 2016)</w:t>
      </w:r>
      <w:r w:rsidR="001224C9">
        <w:rPr>
          <w:rFonts w:ascii="Times New Roman" w:hAnsi="Times New Roman" w:cs="Times New Roman"/>
          <w:sz w:val="24"/>
          <w:szCs w:val="24"/>
        </w:rPr>
        <w:t xml:space="preserve">. Agreeably, the US can secure her environment by integrating all its recovery activities into the framework. The framework has crucial capabilities such as public information and warning, environmental response, fire management, </w:t>
      </w:r>
      <w:r w:rsidR="00F87BBE">
        <w:rPr>
          <w:rFonts w:ascii="Times New Roman" w:hAnsi="Times New Roman" w:cs="Times New Roman"/>
          <w:sz w:val="24"/>
          <w:szCs w:val="24"/>
        </w:rPr>
        <w:t>planning, operational capabilities, and fatality management services.</w:t>
      </w:r>
    </w:p>
    <w:p w:rsidR="00F87BBE" w:rsidP="00021599">
      <w:pPr>
        <w:spacing w:line="480" w:lineRule="auto"/>
        <w:rPr>
          <w:rFonts w:ascii="Times New Roman" w:hAnsi="Times New Roman" w:cs="Times New Roman"/>
          <w:sz w:val="24"/>
          <w:szCs w:val="24"/>
        </w:rPr>
      </w:pPr>
      <w:r>
        <w:rPr>
          <w:rFonts w:ascii="Times New Roman" w:hAnsi="Times New Roman" w:cs="Times New Roman"/>
          <w:sz w:val="24"/>
          <w:szCs w:val="24"/>
        </w:rPr>
        <w:tab/>
        <w:t>Also, the framework is s</w:t>
      </w:r>
      <w:r w:rsidR="007D6D7F">
        <w:rPr>
          <w:rFonts w:ascii="Times New Roman" w:hAnsi="Times New Roman" w:cs="Times New Roman"/>
          <w:sz w:val="24"/>
          <w:szCs w:val="24"/>
        </w:rPr>
        <w:t>calable, flexible, and adaptable and coordinates systems that are essential for reducing risks of EIDs, accidental releases, and unintentional research results. In this regard, the community is prepared by creating awareness of core response mechanisms. The tiered response mechanism of the framework enables the US to manage local and national disasters (Homeland Security, 2016). Unified response from all agencies such as NGOs, private sector, and local agencies ensures that resources and capabilities are utilized effectively.</w:t>
      </w:r>
    </w:p>
    <w:p w:rsidR="007D6D7F" w:rsidP="007D6D7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D6D7F" w:rsidP="007D6D7F">
      <w:pPr>
        <w:spacing w:line="480" w:lineRule="auto"/>
        <w:rPr>
          <w:rFonts w:ascii="Times New Roman" w:hAnsi="Times New Roman" w:cs="Times New Roman"/>
          <w:sz w:val="24"/>
          <w:szCs w:val="24"/>
        </w:rPr>
      </w:pPr>
      <w:r>
        <w:rPr>
          <w:rFonts w:ascii="Times New Roman" w:hAnsi="Times New Roman" w:cs="Times New Roman"/>
          <w:sz w:val="24"/>
          <w:szCs w:val="24"/>
        </w:rPr>
        <w:t>Homeland Security. (2016). National response framework. 3</w:t>
      </w:r>
      <w:r w:rsidRPr="007D6D7F">
        <w:rPr>
          <w:rFonts w:ascii="Times New Roman" w:hAnsi="Times New Roman" w:cs="Times New Roman"/>
          <w:sz w:val="24"/>
          <w:szCs w:val="24"/>
          <w:vertAlign w:val="superscript"/>
        </w:rPr>
        <w:t>rd</w:t>
      </w:r>
      <w:r>
        <w:rPr>
          <w:rFonts w:ascii="Times New Roman" w:hAnsi="Times New Roman" w:cs="Times New Roman"/>
          <w:sz w:val="24"/>
          <w:szCs w:val="24"/>
        </w:rPr>
        <w:t xml:space="preserve"> </w:t>
      </w:r>
      <w:r w:rsidR="00150829">
        <w:rPr>
          <w:rFonts w:ascii="Times New Roman" w:hAnsi="Times New Roman" w:cs="Times New Roman"/>
          <w:sz w:val="24"/>
          <w:szCs w:val="24"/>
        </w:rPr>
        <w:t>ed. 1-58.</w:t>
      </w:r>
    </w:p>
    <w:p w:rsidR="00150829" w:rsidP="007D6D7F">
      <w:pPr>
        <w:spacing w:line="480" w:lineRule="auto"/>
        <w:rPr>
          <w:rFonts w:ascii="Times New Roman" w:hAnsi="Times New Roman" w:cs="Times New Roman"/>
          <w:sz w:val="24"/>
          <w:szCs w:val="24"/>
        </w:rPr>
      </w:pPr>
      <w:r>
        <w:rPr>
          <w:rFonts w:ascii="Times New Roman" w:hAnsi="Times New Roman" w:cs="Times New Roman"/>
          <w:sz w:val="24"/>
          <w:szCs w:val="24"/>
        </w:rPr>
        <w:t>Office of the Press Secretary. (2004). Biodefense for the 21</w:t>
      </w:r>
      <w:r w:rsidRPr="00150829">
        <w:rPr>
          <w:rFonts w:ascii="Times New Roman" w:hAnsi="Times New Roman" w:cs="Times New Roman"/>
          <w:sz w:val="24"/>
          <w:szCs w:val="24"/>
          <w:vertAlign w:val="superscript"/>
        </w:rPr>
        <w:t>st</w:t>
      </w:r>
      <w:r>
        <w:rPr>
          <w:rFonts w:ascii="Times New Roman" w:hAnsi="Times New Roman" w:cs="Times New Roman"/>
          <w:sz w:val="24"/>
          <w:szCs w:val="24"/>
        </w:rPr>
        <w:t xml:space="preserve"> century. Retrieved from</w:t>
      </w:r>
    </w:p>
    <w:p w:rsidR="00150829" w:rsidP="007D6D7F">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150829">
          <w:rPr>
            <w:rStyle w:val="Hyperlink"/>
            <w:rFonts w:ascii="Times New Roman" w:hAnsi="Times New Roman" w:cs="Times New Roman"/>
            <w:sz w:val="24"/>
            <w:szCs w:val="24"/>
          </w:rPr>
          <w:t>https://fas.org/irp/offdocs/nspd/hspd-10.html</w:t>
        </w:r>
      </w:hyperlink>
    </w:p>
    <w:p w:rsidR="00150829" w:rsidRPr="00233ACE" w:rsidP="007D6D7F">
      <w:pPr>
        <w:spacing w:line="480" w:lineRule="auto"/>
        <w:rPr>
          <w:rFonts w:ascii="Times New Roman" w:hAnsi="Times New Roman" w:cs="Times New Roman"/>
          <w:sz w:val="24"/>
          <w:szCs w:val="24"/>
        </w:rPr>
      </w:pPr>
      <w:r>
        <w:rPr>
          <w:rFonts w:ascii="Times New Roman" w:hAnsi="Times New Roman" w:cs="Times New Roman"/>
          <w:sz w:val="24"/>
          <w:szCs w:val="24"/>
        </w:rPr>
        <w:t>Poulin, D. (2009). A US biodefense strategy primer. 1-9.</w:t>
      </w:r>
      <w:bookmarkStart w:id="0" w:name="_GoBack"/>
      <w:bookmarkEnd w:id="0"/>
    </w:p>
    <w:sectPr w:rsidSect="00021599">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1599" w:rsidRPr="00021599" w:rsidP="00021599">
    <w:pPr>
      <w:pStyle w:val="Header"/>
      <w:spacing w:line="480" w:lineRule="auto"/>
      <w:rPr>
        <w:rFonts w:ascii="Times New Roman" w:hAnsi="Times New Roman" w:cs="Times New Roman"/>
        <w:sz w:val="24"/>
        <w:szCs w:val="24"/>
      </w:rPr>
    </w:pPr>
    <w:r w:rsidRPr="00021599">
      <w:rPr>
        <w:rFonts w:ascii="Times New Roman" w:hAnsi="Times New Roman" w:cs="Times New Roman"/>
        <w:sz w:val="24"/>
        <w:szCs w:val="24"/>
      </w:rPr>
      <w:t>BIOLOGICAL AND TOXINS WEAPONS CONVENTION</w:t>
    </w:r>
    <w:r>
      <w:rPr>
        <w:rFonts w:ascii="Times New Roman" w:hAnsi="Times New Roman" w:cs="Times New Roman"/>
        <w:sz w:val="24"/>
        <w:szCs w:val="24"/>
      </w:rPr>
      <w:tab/>
    </w:r>
    <w:r>
      <w:rPr>
        <w:rFonts w:ascii="Times New Roman" w:hAnsi="Times New Roman" w:cs="Times New Roman"/>
        <w:sz w:val="24"/>
        <w:szCs w:val="24"/>
      </w:rPr>
      <w:tab/>
    </w:r>
    <w:r w:rsidRPr="00021599">
      <w:rPr>
        <w:rFonts w:ascii="Times New Roman" w:hAnsi="Times New Roman" w:cs="Times New Roman"/>
        <w:sz w:val="24"/>
        <w:szCs w:val="24"/>
      </w:rPr>
      <w:t xml:space="preserve"> </w:t>
    </w:r>
    <w:sdt>
      <w:sdtPr>
        <w:rPr>
          <w:rFonts w:ascii="Times New Roman" w:hAnsi="Times New Roman" w:cs="Times New Roman"/>
          <w:sz w:val="24"/>
          <w:szCs w:val="24"/>
        </w:rPr>
        <w:id w:val="-1295912730"/>
        <w:docPartObj>
          <w:docPartGallery w:val="Page Numbers (Top of Page)"/>
          <w:docPartUnique/>
        </w:docPartObj>
      </w:sdtPr>
      <w:sdtEndPr>
        <w:rPr>
          <w:noProof/>
        </w:rPr>
      </w:sdtEndPr>
      <w:sdtContent>
        <w:r w:rsidRPr="00021599">
          <w:rPr>
            <w:rFonts w:ascii="Times New Roman" w:hAnsi="Times New Roman" w:cs="Times New Roman"/>
            <w:sz w:val="24"/>
            <w:szCs w:val="24"/>
          </w:rPr>
          <w:fldChar w:fldCharType="begin"/>
        </w:r>
        <w:r w:rsidRPr="00021599">
          <w:rPr>
            <w:rFonts w:ascii="Times New Roman" w:hAnsi="Times New Roman" w:cs="Times New Roman"/>
            <w:sz w:val="24"/>
            <w:szCs w:val="24"/>
          </w:rPr>
          <w:instrText xml:space="preserve"> PAGE   \* MERGEFORMAT </w:instrText>
        </w:r>
        <w:r w:rsidRPr="00021599">
          <w:rPr>
            <w:rFonts w:ascii="Times New Roman" w:hAnsi="Times New Roman" w:cs="Times New Roman"/>
            <w:sz w:val="24"/>
            <w:szCs w:val="24"/>
          </w:rPr>
          <w:fldChar w:fldCharType="separate"/>
        </w:r>
        <w:r w:rsidR="00150829">
          <w:rPr>
            <w:rFonts w:ascii="Times New Roman" w:hAnsi="Times New Roman" w:cs="Times New Roman"/>
            <w:noProof/>
            <w:sz w:val="24"/>
            <w:szCs w:val="24"/>
          </w:rPr>
          <w:t>5</w:t>
        </w:r>
        <w:r w:rsidRPr="00021599">
          <w:rPr>
            <w:rFonts w:ascii="Times New Roman" w:hAnsi="Times New Roman" w:cs="Times New Roman"/>
            <w:noProof/>
            <w:sz w:val="24"/>
            <w:szCs w:val="24"/>
          </w:rPr>
          <w:fldChar w:fldCharType="end"/>
        </w:r>
      </w:sdtContent>
    </w:sdt>
  </w:p>
  <w:p w:rsidR="000215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1599" w:rsidRPr="00021599" w:rsidP="00021599">
    <w:pPr>
      <w:pStyle w:val="Header"/>
      <w:spacing w:line="480" w:lineRule="auto"/>
      <w:rPr>
        <w:rFonts w:ascii="Times New Roman" w:hAnsi="Times New Roman" w:cs="Times New Roman"/>
        <w:sz w:val="24"/>
        <w:szCs w:val="24"/>
      </w:rPr>
    </w:pPr>
    <w:r w:rsidRPr="00021599">
      <w:rPr>
        <w:rFonts w:ascii="Times New Roman" w:hAnsi="Times New Roman" w:cs="Times New Roman"/>
        <w:sz w:val="24"/>
        <w:szCs w:val="24"/>
      </w:rPr>
      <w:t>Running head:  BIOLOGICAL TOXINS WEAPONS CONVENTION</w:t>
    </w:r>
    <w:r>
      <w:rPr>
        <w:rFonts w:ascii="Times New Roman" w:hAnsi="Times New Roman" w:cs="Times New Roman"/>
        <w:sz w:val="24"/>
        <w:szCs w:val="24"/>
      </w:rPr>
      <w:tab/>
    </w:r>
    <w:r>
      <w:rPr>
        <w:rFonts w:ascii="Times New Roman" w:hAnsi="Times New Roman" w:cs="Times New Roman"/>
        <w:sz w:val="24"/>
        <w:szCs w:val="24"/>
      </w:rPr>
      <w:tab/>
    </w:r>
    <w:r w:rsidRPr="00021599">
      <w:rPr>
        <w:rFonts w:ascii="Times New Roman" w:hAnsi="Times New Roman" w:cs="Times New Roman"/>
        <w:sz w:val="24"/>
        <w:szCs w:val="24"/>
      </w:rPr>
      <w:t xml:space="preserve"> </w:t>
    </w:r>
    <w:sdt>
      <w:sdtPr>
        <w:rPr>
          <w:rFonts w:ascii="Times New Roman" w:hAnsi="Times New Roman" w:cs="Times New Roman"/>
          <w:sz w:val="24"/>
          <w:szCs w:val="24"/>
        </w:rPr>
        <w:id w:val="1451204030"/>
        <w:docPartObj>
          <w:docPartGallery w:val="Page Numbers (Top of Page)"/>
          <w:docPartUnique/>
        </w:docPartObj>
      </w:sdtPr>
      <w:sdtEndPr>
        <w:rPr>
          <w:noProof/>
        </w:rPr>
      </w:sdtEndPr>
      <w:sdtContent>
        <w:r w:rsidRPr="00021599">
          <w:rPr>
            <w:rFonts w:ascii="Times New Roman" w:hAnsi="Times New Roman" w:cs="Times New Roman"/>
            <w:sz w:val="24"/>
            <w:szCs w:val="24"/>
          </w:rPr>
          <w:fldChar w:fldCharType="begin"/>
        </w:r>
        <w:r w:rsidRPr="00021599">
          <w:rPr>
            <w:rFonts w:ascii="Times New Roman" w:hAnsi="Times New Roman" w:cs="Times New Roman"/>
            <w:sz w:val="24"/>
            <w:szCs w:val="24"/>
          </w:rPr>
          <w:instrText xml:space="preserve"> PAGE   \* MERGEFORMAT </w:instrText>
        </w:r>
        <w:r w:rsidRPr="00021599">
          <w:rPr>
            <w:rFonts w:ascii="Times New Roman" w:hAnsi="Times New Roman" w:cs="Times New Roman"/>
            <w:sz w:val="24"/>
            <w:szCs w:val="24"/>
          </w:rPr>
          <w:fldChar w:fldCharType="separate"/>
        </w:r>
        <w:r w:rsidR="00233ACE">
          <w:rPr>
            <w:rFonts w:ascii="Times New Roman" w:hAnsi="Times New Roman" w:cs="Times New Roman"/>
            <w:noProof/>
            <w:sz w:val="24"/>
            <w:szCs w:val="24"/>
          </w:rPr>
          <w:t>1</w:t>
        </w:r>
        <w:r w:rsidRPr="00021599">
          <w:rPr>
            <w:rFonts w:ascii="Times New Roman" w:hAnsi="Times New Roman" w:cs="Times New Roman"/>
            <w:noProof/>
            <w:sz w:val="24"/>
            <w:szCs w:val="24"/>
          </w:rPr>
          <w:fldChar w:fldCharType="end"/>
        </w:r>
      </w:sdtContent>
    </w:sdt>
  </w:p>
  <w:p w:rsidR="000215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599"/>
    <w:rsid w:val="00021599"/>
    <w:rsid w:val="00054BFA"/>
    <w:rsid w:val="001224C9"/>
    <w:rsid w:val="00150829"/>
    <w:rsid w:val="00172310"/>
    <w:rsid w:val="001C6142"/>
    <w:rsid w:val="001D2666"/>
    <w:rsid w:val="001E3BBD"/>
    <w:rsid w:val="00226229"/>
    <w:rsid w:val="00233ACE"/>
    <w:rsid w:val="00414F25"/>
    <w:rsid w:val="007772E6"/>
    <w:rsid w:val="007A7929"/>
    <w:rsid w:val="007D6D7F"/>
    <w:rsid w:val="0080412D"/>
    <w:rsid w:val="00850957"/>
    <w:rsid w:val="00B973E2"/>
    <w:rsid w:val="00BD4F4E"/>
    <w:rsid w:val="00C90CF0"/>
    <w:rsid w:val="00D2673E"/>
    <w:rsid w:val="00E0118C"/>
    <w:rsid w:val="00EE7BCF"/>
    <w:rsid w:val="00F44FD4"/>
    <w:rsid w:val="00F87BBE"/>
    <w:rsid w:val="00FB647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5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599"/>
  </w:style>
  <w:style w:type="paragraph" w:styleId="Footer">
    <w:name w:val="footer"/>
    <w:basedOn w:val="Normal"/>
    <w:link w:val="FooterChar"/>
    <w:uiPriority w:val="99"/>
    <w:unhideWhenUsed/>
    <w:rsid w:val="000215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599"/>
  </w:style>
  <w:style w:type="character" w:styleId="Hyperlink">
    <w:name w:val="Hyperlink"/>
    <w:basedOn w:val="DefaultParagraphFont"/>
    <w:uiPriority w:val="99"/>
    <w:unhideWhenUsed/>
    <w:rsid w:val="001508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fas.org/irp/offdocs/nspd/hspd-10.htm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493</TotalTime>
  <Pages>5</Pages>
  <Words>914</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2019-07-11T09:25:00Z</dcterms:created>
  <dcterms:modified xsi:type="dcterms:W3CDTF">2019-07-11T17:38:00Z</dcterms:modified>
</cp:coreProperties>
</file>